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2435225" cy="121348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680" cy="121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5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7pt;margin-top:58.6pt;width:191.65pt;height:95.4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5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ge">
                  <wp:posOffset>2439035</wp:posOffset>
                </wp:positionV>
                <wp:extent cx="2323465" cy="103822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720" cy="103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5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5.65pt;margin-top:192.05pt;width:182.85pt;height:81.6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5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1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Адаптированная рабочая программа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«Русский язык»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Вариант 7.2.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/>
        <w:ind w:firstLine="708"/>
        <w:jc w:val="center"/>
        <w:rPr/>
      </w:pPr>
      <w:bookmarkStart w:id="0" w:name="block-32919852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bookmarkStart w:id="1" w:name="block-49396694"/>
      <w:r>
        <w:rPr>
          <w:rFonts w:cs="Times New Roman" w:ascii="Times New Roman" w:hAnsi="Times New Roman"/>
          <w:sz w:val="24"/>
          <w:szCs w:val="24"/>
          <w:lang w:val="ru-RU"/>
        </w:rPr>
        <w:t xml:space="preserve"> год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49396693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49396693"/>
      <w:bookmarkStart w:id="4" w:name="block-49396697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r>
        <w:rPr>
          <w:rStyle w:val="Style14"/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/>
      </w:pPr>
      <w:r>
        <w:fldChar w:fldCharType="begin"/>
      </w:r>
      <w:r>
        <w:instrText> HYPERLINK "https://workprogram.edsoo.ru/templates/415" \l "_ftnref1"</w:instrText>
      </w:r>
      <w:r>
        <w:fldChar w:fldCharType="separate"/>
      </w:r>
      <w:bookmarkStart w:id="5" w:name="_ftn1"/>
      <w:r>
        <w:rPr>
          <w:rStyle w:val="Style14"/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49396697"/>
      <w:bookmarkStart w:id="7" w:name="block-4939669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8" w:name="block-49396695"/>
      <w:bookmarkStart w:id="9" w:name="block-49396696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10" w:name="block-49396696"/>
      <w:bookmarkStart w:id="11" w:name="block-49396699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9"/>
        <w:gridCol w:w="1733"/>
        <w:gridCol w:w="7944"/>
        <w:gridCol w:w="1606"/>
        <w:gridCol w:w="1768"/>
      </w:tblGrid>
      <w:tr>
        <w:trPr>
          <w:trHeight w:val="9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49396699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(в 2 частях), 3 класс/ Канакина В.П., Горецкий В.Г., Акционерное общество «Издательство «Просвещение», 2024.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59" w:before="0" w:after="0"/>
        <w:ind w:left="284" w:hang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Русский язык : 3‐й класс : методические рекомендации : учебное пособие : В. П. Канакина. — Москва : Просвещение.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4" w:name="block-4939669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0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410</w:t>
        </w:r>
        <w:r>
          <w:rPr>
            <w:rStyle w:val="Style14"/>
            <w:rFonts w:ascii="Times New Roman" w:hAnsi="Times New Roman"/>
            <w:color w:val="0000FF"/>
            <w:u w:val="single"/>
          </w:rPr>
          <w:t>de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d33354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0de8" TargetMode="External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27</Pages>
  <Words>5830</Words>
  <CharactersWithSpaces>33233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2025-03-04T09:39:00Z</dcterms:created>
  <dc:creator/>
  <dc:description/>
  <dc:language>ru-RU</dc:language>
  <cp:lastModifiedBy/>
  <dcterms:modified xsi:type="dcterms:W3CDTF">2025-03-28T12:44:12Z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